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395" w:rsidRPr="00841395" w:rsidRDefault="00841395" w:rsidP="00841395">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E03F90" w:rsidRPr="006E37AC" w:rsidRDefault="00E03F9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6E37AC">
        <w:rPr>
          <w:rFonts w:ascii="Arial" w:hAnsi="Arial" w:cs="Arial"/>
          <w:b/>
          <w:bCs/>
        </w:rPr>
        <w:t>B13O</w:t>
      </w:r>
      <w:r w:rsidRPr="006E37AC">
        <w:rPr>
          <w:rFonts w:ascii="Arial" w:hAnsi="Arial" w:cs="Arial"/>
          <w:b/>
          <w:bCs/>
        </w:rPr>
        <w:tab/>
      </w:r>
      <w:r w:rsidRPr="006E37AC">
        <w:rPr>
          <w:rFonts w:ascii="Arial" w:hAnsi="Arial" w:cs="Arial"/>
          <w:b/>
          <w:bCs/>
        </w:rPr>
        <w:tab/>
        <w:t xml:space="preserve">Monitoring and record keeping requirements for </w:t>
      </w:r>
      <w:r w:rsidRPr="00841395">
        <w:rPr>
          <w:rFonts w:ascii="Arial" w:hAnsi="Arial" w:cs="Arial"/>
          <w:b/>
          <w:bCs/>
          <w:color w:val="C00000"/>
        </w:rPr>
        <w:t>ovens</w:t>
      </w:r>
      <w:r w:rsidRPr="006E37AC">
        <w:rPr>
          <w:rFonts w:ascii="Arial" w:hAnsi="Arial" w:cs="Arial"/>
          <w:b/>
          <w:bCs/>
          <w:color w:val="000000"/>
        </w:rPr>
        <w:t xml:space="preserve"> that:</w:t>
      </w:r>
    </w:p>
    <w:p w:rsidR="00E03F90" w:rsidRPr="006E37AC" w:rsidRDefault="00E03F9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6E37AC">
        <w:rPr>
          <w:rFonts w:ascii="Arial" w:hAnsi="Arial" w:cs="Arial"/>
          <w:b/>
          <w:bCs/>
          <w:color w:val="000000"/>
        </w:rPr>
        <w:t>(a)</w:t>
      </w:r>
      <w:r w:rsidRPr="006E37AC">
        <w:rPr>
          <w:rFonts w:ascii="Arial" w:hAnsi="Arial" w:cs="Arial"/>
          <w:b/>
          <w:bCs/>
          <w:color w:val="000000"/>
        </w:rPr>
        <w:tab/>
        <w:t xml:space="preserve">are subject to OAC rule 3745-21-07(G)(1), </w:t>
      </w:r>
    </w:p>
    <w:p w:rsidR="00E03F90" w:rsidRPr="006E37AC" w:rsidRDefault="00E03F9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6E37AC">
        <w:rPr>
          <w:rFonts w:ascii="Arial" w:hAnsi="Arial" w:cs="Arial"/>
          <w:b/>
          <w:bCs/>
          <w:color w:val="000000"/>
        </w:rPr>
        <w:t>(b)</w:t>
      </w:r>
      <w:r w:rsidRPr="006E37AC">
        <w:rPr>
          <w:rFonts w:ascii="Arial" w:hAnsi="Arial" w:cs="Arial"/>
          <w:b/>
          <w:bCs/>
          <w:color w:val="000000"/>
        </w:rPr>
        <w:tab/>
        <w:t xml:space="preserve">preceded by a coating operation that is either subject to OAC rule 3745-21-07(G)(2) or is required to employ only </w:t>
      </w:r>
      <w:proofErr w:type="spellStart"/>
      <w:r w:rsidRPr="006E37AC">
        <w:rPr>
          <w:rFonts w:ascii="Arial" w:hAnsi="Arial" w:cs="Arial"/>
          <w:b/>
          <w:bCs/>
          <w:color w:val="000000"/>
        </w:rPr>
        <w:t>nonphotochemically</w:t>
      </w:r>
      <w:proofErr w:type="spellEnd"/>
      <w:r w:rsidRPr="006E37AC">
        <w:rPr>
          <w:rFonts w:ascii="Arial" w:hAnsi="Arial" w:cs="Arial"/>
          <w:b/>
          <w:bCs/>
          <w:color w:val="000000"/>
        </w:rPr>
        <w:t xml:space="preserve"> reactive materials, </w:t>
      </w:r>
    </w:p>
    <w:p w:rsidR="00E03F90" w:rsidRPr="006E37AC" w:rsidRDefault="00E03F9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6E37AC">
        <w:rPr>
          <w:rFonts w:ascii="Arial" w:hAnsi="Arial" w:cs="Arial"/>
          <w:b/>
          <w:bCs/>
          <w:color w:val="000000"/>
        </w:rPr>
        <w:t>(c)</w:t>
      </w:r>
      <w:r w:rsidRPr="006E37AC">
        <w:rPr>
          <w:rFonts w:ascii="Arial" w:hAnsi="Arial" w:cs="Arial"/>
          <w:b/>
          <w:bCs/>
          <w:color w:val="000000"/>
        </w:rPr>
        <w:tab/>
        <w:t xml:space="preserve">employ a </w:t>
      </w:r>
      <w:r w:rsidRPr="00841395">
        <w:rPr>
          <w:rFonts w:ascii="Arial" w:hAnsi="Arial" w:cs="Arial"/>
          <w:b/>
          <w:bCs/>
          <w:color w:val="CC3399"/>
        </w:rPr>
        <w:t>carbon adsorber</w:t>
      </w:r>
      <w:r w:rsidRPr="006E37AC">
        <w:rPr>
          <w:rFonts w:ascii="Arial" w:hAnsi="Arial" w:cs="Arial"/>
          <w:b/>
          <w:bCs/>
          <w:color w:val="000000"/>
        </w:rPr>
        <w:t xml:space="preserve"> to comply with a required control efficiency limitation and an overall control efficiency limitation, and </w:t>
      </w:r>
    </w:p>
    <w:p w:rsidR="00E03F90" w:rsidRDefault="00E03F90" w:rsidP="00422709">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6E37AC">
        <w:rPr>
          <w:rFonts w:ascii="Arial" w:hAnsi="Arial" w:cs="Arial"/>
          <w:b/>
          <w:bCs/>
          <w:color w:val="000000"/>
        </w:rPr>
        <w:t>(d)</w:t>
      </w:r>
      <w:r w:rsidRPr="006E37AC">
        <w:rPr>
          <w:rFonts w:ascii="Arial" w:hAnsi="Arial" w:cs="Arial"/>
          <w:b/>
          <w:bCs/>
          <w:color w:val="000000"/>
        </w:rPr>
        <w:tab/>
        <w:t xml:space="preserve">the </w:t>
      </w:r>
      <w:r w:rsidRPr="00841395">
        <w:rPr>
          <w:rFonts w:ascii="Arial" w:hAnsi="Arial" w:cs="Arial"/>
          <w:b/>
          <w:bCs/>
          <w:color w:val="CC3399"/>
        </w:rPr>
        <w:t>total mass steam flow rate</w:t>
      </w:r>
      <w:r w:rsidRPr="006E37AC">
        <w:rPr>
          <w:rFonts w:ascii="Arial" w:hAnsi="Arial" w:cs="Arial"/>
          <w:b/>
          <w:bCs/>
          <w:color w:val="000000"/>
        </w:rPr>
        <w:t xml:space="preserve"> is measured</w:t>
      </w:r>
    </w:p>
    <w:p w:rsidR="005E47FA" w:rsidRDefault="005E47FA" w:rsidP="00824206">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color w:val="000000"/>
        </w:rPr>
      </w:pPr>
    </w:p>
    <w:p w:rsidR="00824206" w:rsidRPr="00841395" w:rsidRDefault="00824206" w:rsidP="00824206">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b/>
          <w:color w:val="365F91" w:themeColor="accent1" w:themeShade="BF"/>
        </w:rPr>
      </w:pPr>
      <w:r w:rsidRPr="00841395">
        <w:rPr>
          <w:rFonts w:ascii="Arial" w:hAnsi="Arial" w:cs="Arial"/>
          <w:b/>
          <w:color w:val="C00000"/>
        </w:rPr>
        <w:t>Note:</w:t>
      </w:r>
      <w:r w:rsidRPr="00841395">
        <w:rPr>
          <w:rFonts w:ascii="Arial" w:hAnsi="Arial" w:cs="Arial"/>
          <w:b/>
          <w:color w:val="365F91" w:themeColor="accent1" w:themeShade="BF"/>
        </w:rPr>
        <w:tab/>
        <w:t>OAC 3745-21-07 has been modified to include only emission units for which installation commenced prior to the effective date of the rule revision (</w:t>
      </w:r>
      <w:r w:rsidRPr="00841395">
        <w:rPr>
          <w:rFonts w:ascii="Arial" w:hAnsi="Arial" w:cs="Arial"/>
          <w:b/>
          <w:color w:val="C00000"/>
        </w:rPr>
        <w:t>2/18/08</w:t>
      </w:r>
      <w:r w:rsidRPr="00841395">
        <w:rPr>
          <w:rFonts w:ascii="Arial" w:hAnsi="Arial" w:cs="Arial"/>
          <w:b/>
          <w:color w:val="365F91" w:themeColor="accent1" w:themeShade="BF"/>
        </w:rPr>
        <w:t>).</w:t>
      </w:r>
    </w:p>
    <w:p w:rsidR="00824206" w:rsidRPr="006E37AC" w:rsidRDefault="00824206" w:rsidP="00824206">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color w:val="000000"/>
        </w:rPr>
      </w:pPr>
    </w:p>
    <w:p w:rsidR="00E03F90" w:rsidRPr="006E37AC" w:rsidRDefault="00E03F90" w:rsidP="00EB2C4A">
      <w:pPr>
        <w:tabs>
          <w:tab w:val="left" w:pos="-48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6E37AC">
        <w:rPr>
          <w:rFonts w:ascii="Arial" w:hAnsi="Arial" w:cs="Arial"/>
          <w:b/>
          <w:bCs/>
          <w:color w:val="000000"/>
        </w:rPr>
        <w:t>B.13.o</w:t>
      </w:r>
      <w:r w:rsidRPr="006E37AC">
        <w:rPr>
          <w:rFonts w:ascii="Arial" w:hAnsi="Arial" w:cs="Arial"/>
          <w:b/>
          <w:bCs/>
          <w:color w:val="000000"/>
        </w:rPr>
        <w:tab/>
      </w:r>
      <w:r w:rsidRPr="006E37AC">
        <w:rPr>
          <w:rFonts w:ascii="Arial" w:hAnsi="Arial" w:cs="Arial"/>
          <w:b/>
          <w:bCs/>
          <w:color w:val="800000"/>
          <w:u w:val="single"/>
        </w:rPr>
        <w:t>Monitoring and Record Keeping Requirements</w:t>
      </w:r>
      <w:r w:rsidRPr="006E37AC">
        <w:rPr>
          <w:rFonts w:ascii="Arial" w:hAnsi="Arial" w:cs="Arial"/>
          <w:color w:val="000000"/>
        </w:rPr>
        <w:t xml:space="preserve"> </w:t>
      </w:r>
      <w:r w:rsidRPr="006E37AC">
        <w:rPr>
          <w:rFonts w:ascii="Arial" w:hAnsi="Arial" w:cs="Arial"/>
          <w:b/>
          <w:bCs/>
          <w:color w:val="008000"/>
          <w:sz w:val="20"/>
          <w:szCs w:val="20"/>
        </w:rPr>
        <w:t>[OAC rule 3745-21-07(G)(1) and (G)(6)(b)] and [OAC rule 3745-21-07(G)(7), in part]</w:t>
      </w:r>
    </w:p>
    <w:p w:rsidR="00E03F90" w:rsidRPr="006E37AC" w:rsidRDefault="00E03F90" w:rsidP="006D7947">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color w:val="000000"/>
        </w:rPr>
      </w:pPr>
      <w:r w:rsidRPr="00841395">
        <w:rPr>
          <w:rFonts w:ascii="Arial" w:hAnsi="Arial" w:cs="Arial"/>
          <w:b/>
          <w:bCs/>
          <w:color w:val="C00000"/>
        </w:rPr>
        <w:t>Note:</w:t>
      </w:r>
      <w:r w:rsidRPr="006E37AC">
        <w:rPr>
          <w:rFonts w:ascii="Arial" w:hAnsi="Arial" w:cs="Arial"/>
          <w:color w:val="000000"/>
        </w:rPr>
        <w:tab/>
      </w:r>
      <w:r w:rsidRPr="00841395">
        <w:rPr>
          <w:rFonts w:ascii="Arial" w:hAnsi="Arial" w:cs="Arial"/>
          <w:b/>
          <w:bCs/>
          <w:color w:val="365F91" w:themeColor="accent1" w:themeShade="BF"/>
        </w:rPr>
        <w:t xml:space="preserve">If the emissions unit is an existing source already equipped with a carbon adsorber with a continuous </w:t>
      </w:r>
      <w:proofErr w:type="spellStart"/>
      <w:r w:rsidRPr="00841395">
        <w:rPr>
          <w:rFonts w:ascii="Arial" w:hAnsi="Arial" w:cs="Arial"/>
          <w:b/>
          <w:bCs/>
          <w:color w:val="365F91" w:themeColor="accent1" w:themeShade="BF"/>
        </w:rPr>
        <w:t>steam</w:t>
      </w:r>
      <w:proofErr w:type="spellEnd"/>
      <w:r w:rsidRPr="00841395">
        <w:rPr>
          <w:rFonts w:ascii="Arial" w:hAnsi="Arial" w:cs="Arial"/>
          <w:b/>
          <w:bCs/>
          <w:color w:val="365F91" w:themeColor="accent1" w:themeShade="BF"/>
        </w:rPr>
        <w:t xml:space="preserve"> flow monitoring device and recorder, the first sentence would read as follows:</w:t>
      </w:r>
    </w:p>
    <w:p w:rsidR="00E03F90" w:rsidRPr="006E37AC" w:rsidRDefault="005E47FA" w:rsidP="00422709">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rPr>
          <w:rFonts w:ascii="Arial" w:hAnsi="Arial" w:cs="Arial"/>
          <w:color w:val="000000"/>
        </w:rPr>
      </w:pPr>
      <w:r>
        <w:rPr>
          <w:rFonts w:ascii="Arial" w:hAnsi="Arial" w:cs="Arial"/>
          <w:color w:val="000000"/>
        </w:rPr>
        <w:tab/>
      </w:r>
      <w:r>
        <w:rPr>
          <w:rFonts w:ascii="Arial" w:hAnsi="Arial" w:cs="Arial"/>
          <w:color w:val="000000"/>
        </w:rPr>
        <w:tab/>
      </w:r>
      <w:r w:rsidR="00E03F90" w:rsidRPr="006E37AC">
        <w:rPr>
          <w:rFonts w:ascii="Arial" w:hAnsi="Arial" w:cs="Arial"/>
          <w:color w:val="000000"/>
        </w:rPr>
        <w:sym w:font="WP TypographicSymbols" w:char="0041"/>
      </w:r>
      <w:r w:rsidR="00E03F90" w:rsidRPr="006E37AC">
        <w:rPr>
          <w:rFonts w:ascii="Arial" w:hAnsi="Arial" w:cs="Arial"/>
          <w:color w:val="000000"/>
        </w:rPr>
        <w:t xml:space="preserve"> The permittee shall operate and maintain a/the continuous monitor and recorder to measure and record the steam flow rate from the carbon adsorber when the emissions unit is in operation.</w:t>
      </w:r>
      <w:r w:rsidR="00E03F90" w:rsidRPr="006E37AC">
        <w:rPr>
          <w:rFonts w:ascii="Arial" w:hAnsi="Arial" w:cs="Arial"/>
          <w:color w:val="000000"/>
        </w:rPr>
        <w:sym w:font="WP TypographicSymbols" w:char="0041"/>
      </w:r>
    </w:p>
    <w:p w:rsidR="00E03F90" w:rsidRPr="00422709" w:rsidRDefault="00E03F90" w:rsidP="00D44D23">
      <w:pPr>
        <w:pStyle w:val="Level4"/>
        <w:ind w:left="2160"/>
      </w:pPr>
      <w:r w:rsidRPr="006E37AC">
        <w:t>The permittee shall install, operate, and maintain a continuous monitor and recorder which measures and records the steam flow rate from the carbon adsorber.  The monitoring and recording devices shall be capable of accurately measuring the steam flow rate from the carbon adsorber.  The monitor and recorder shall be installed, calibrated, operated, and maintained in accordance with the manufacturer</w:t>
      </w:r>
      <w:r w:rsidR="00642F73">
        <w:t>’</w:t>
      </w:r>
      <w:bookmarkStart w:id="0" w:name="_GoBack"/>
      <w:bookmarkEnd w:id="0"/>
      <w:r w:rsidRPr="006E37AC">
        <w:t>s recommendations, with any modifications deemed necessary by the permittee.  The permittee shall collect and record the following information for each day for the control equipment:</w:t>
      </w:r>
    </w:p>
    <w:p w:rsidR="00E03F90" w:rsidRPr="006E37AC" w:rsidRDefault="00E03F90" w:rsidP="00422709">
      <w:pPr>
        <w:pStyle w:val="Level5"/>
      </w:pPr>
      <w:r w:rsidRPr="006E37AC">
        <w:t>a log of the downtime for the capture (collection) system, control device, and monitoring equipment, when the associated emissions unit was in operation; and</w:t>
      </w:r>
    </w:p>
    <w:p w:rsidR="00E03F90" w:rsidRPr="00422709" w:rsidRDefault="00E03F90" w:rsidP="00422709">
      <w:pPr>
        <w:pStyle w:val="Level5"/>
      </w:pPr>
      <w:r w:rsidRPr="006E37AC">
        <w:t>all carbon bed regeneration cycles during which the total mass steam flow rates were either more than 10 percent below the minimum total mass steam flow rate for any regeneration cycle during the most recent performance test that demonstrated the emissions unit was in compliance or less than the specified pounds of steam that is equivalent to 10 percent below the minimum total mass steam flow rate.</w:t>
      </w:r>
    </w:p>
    <w:p w:rsidR="005E47FA" w:rsidRPr="00824206" w:rsidRDefault="00E03F90" w:rsidP="00EB2C4A">
      <w:pPr>
        <w:pStyle w:val="Level4Paragraph"/>
        <w:rPr>
          <w:sz w:val="20"/>
          <w:szCs w:val="20"/>
        </w:rPr>
      </w:pPr>
      <w:r w:rsidRPr="00824206">
        <w:rPr>
          <w:sz w:val="20"/>
          <w:szCs w:val="20"/>
        </w:rPr>
        <w:t>[OAC rule 3745-21-07(G)(1) and (G)(6)(b)] and [OAC rule 3745-21-07(G)(7), in part]</w:t>
      </w:r>
    </w:p>
    <w:p w:rsidR="00E03F90" w:rsidRPr="006E37AC" w:rsidRDefault="005E47FA" w:rsidP="0042270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841395">
        <w:rPr>
          <w:rFonts w:ascii="Arial" w:hAnsi="Arial" w:cs="Arial"/>
          <w:b/>
          <w:bCs/>
          <w:i/>
          <w:iCs/>
          <w:color w:val="365F91" w:themeColor="accent1" w:themeShade="BF"/>
        </w:rPr>
        <w:tab/>
      </w:r>
      <w:r w:rsidR="00E03F90" w:rsidRPr="00841395">
        <w:rPr>
          <w:rFonts w:ascii="Arial" w:hAnsi="Arial" w:cs="Arial"/>
          <w:b/>
          <w:bCs/>
          <w:i/>
          <w:iCs/>
          <w:color w:val="365F91" w:themeColor="accent1" w:themeShade="BF"/>
        </w:rPr>
        <w:t xml:space="preserve">Please note that the following section must be added to this term and condition if the emissions unit is subject to an </w:t>
      </w:r>
      <w:r w:rsidR="00E03F90" w:rsidRPr="00841395">
        <w:rPr>
          <w:rFonts w:ascii="Arial" w:hAnsi="Arial" w:cs="Arial"/>
          <w:b/>
          <w:bCs/>
          <w:i/>
          <w:iCs/>
          <w:color w:val="C00000"/>
        </w:rPr>
        <w:t>annual organic compound emission limitation</w:t>
      </w:r>
      <w:r w:rsidR="00E03F90" w:rsidRPr="00841395">
        <w:rPr>
          <w:rFonts w:ascii="Arial" w:hAnsi="Arial" w:cs="Arial"/>
          <w:b/>
          <w:bCs/>
          <w:i/>
          <w:iCs/>
          <w:color w:val="365F91" w:themeColor="accent1" w:themeShade="BF"/>
        </w:rPr>
        <w:t>.  The information required by this section may be collected and recorded at a frequency determined by the permittee (e.g., daily, monthly, quarterly, or semiannually).</w:t>
      </w:r>
    </w:p>
    <w:p w:rsidR="00E03F90" w:rsidRPr="006E37AC" w:rsidRDefault="00E03F90" w:rsidP="006D7947">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hanging="1080"/>
        <w:rPr>
          <w:rFonts w:ascii="Arial" w:hAnsi="Arial" w:cs="Arial"/>
          <w:color w:val="000000"/>
        </w:rPr>
      </w:pPr>
      <w:r w:rsidRPr="00841395">
        <w:rPr>
          <w:rFonts w:ascii="Arial" w:hAnsi="Arial" w:cs="Arial"/>
          <w:b/>
          <w:bCs/>
          <w:color w:val="C00000"/>
        </w:rPr>
        <w:t>XXXX1</w:t>
      </w:r>
      <w:r w:rsidRPr="00841395">
        <w:rPr>
          <w:rFonts w:ascii="Arial" w:hAnsi="Arial" w:cs="Arial"/>
          <w:b/>
          <w:bCs/>
          <w:i/>
          <w:iCs/>
          <w:color w:val="365F91" w:themeColor="accent1" w:themeShade="BF"/>
        </w:rPr>
        <w:t xml:space="preserve">: </w:t>
      </w:r>
      <w:r w:rsidRPr="00841395">
        <w:rPr>
          <w:rFonts w:ascii="Arial" w:hAnsi="Arial" w:cs="Arial"/>
          <w:b/>
          <w:bCs/>
          <w:i/>
          <w:iCs/>
          <w:color w:val="365F91" w:themeColor="accent1" w:themeShade="BF"/>
        </w:rPr>
        <w:tab/>
        <w:t xml:space="preserve">In record </w:t>
      </w:r>
      <w:r w:rsidR="008B6BB8">
        <w:rPr>
          <w:rFonts w:ascii="Arial" w:hAnsi="Arial" w:cs="Arial"/>
          <w:b/>
          <w:bCs/>
          <w:i/>
          <w:iCs/>
          <w:color w:val="365F91" w:themeColor="accent1" w:themeShade="BF"/>
        </w:rPr>
        <w:t>“</w:t>
      </w:r>
      <w:r w:rsidRPr="00841395">
        <w:rPr>
          <w:rFonts w:ascii="Arial" w:hAnsi="Arial" w:cs="Arial"/>
          <w:b/>
          <w:bCs/>
          <w:i/>
          <w:iCs/>
          <w:color w:val="C00000"/>
        </w:rPr>
        <w:t>a</w:t>
      </w:r>
      <w:r w:rsidR="008B6BB8">
        <w:rPr>
          <w:rFonts w:ascii="Arial" w:hAnsi="Arial" w:cs="Arial"/>
          <w:b/>
          <w:bCs/>
          <w:i/>
          <w:iCs/>
          <w:color w:val="365F91" w:themeColor="accent1" w:themeShade="BF"/>
        </w:rPr>
        <w:t>”</w:t>
      </w:r>
      <w:r w:rsidRPr="00841395">
        <w:rPr>
          <w:rFonts w:ascii="Arial" w:hAnsi="Arial" w:cs="Arial"/>
          <w:b/>
          <w:bCs/>
          <w:i/>
          <w:iCs/>
          <w:color w:val="365F91" w:themeColor="accent1" w:themeShade="BF"/>
        </w:rPr>
        <w:t xml:space="preserve"> below, identify the condition in the permit that specifies the maximum percentage of the emissions from the oven, from the booth/oven </w:t>
      </w:r>
      <w:r w:rsidR="008B6BB8">
        <w:rPr>
          <w:rFonts w:ascii="Arial" w:hAnsi="Arial" w:cs="Arial"/>
          <w:b/>
          <w:bCs/>
          <w:i/>
          <w:iCs/>
          <w:color w:val="365F91" w:themeColor="accent1" w:themeShade="BF"/>
        </w:rPr>
        <w:t>“</w:t>
      </w:r>
      <w:r w:rsidRPr="00841395">
        <w:rPr>
          <w:rFonts w:ascii="Arial" w:hAnsi="Arial" w:cs="Arial"/>
          <w:b/>
          <w:bCs/>
          <w:i/>
          <w:iCs/>
          <w:color w:val="365F91" w:themeColor="accent1" w:themeShade="BF"/>
        </w:rPr>
        <w:t>split</w:t>
      </w:r>
      <w:r w:rsidR="008B6BB8">
        <w:rPr>
          <w:rFonts w:ascii="Arial" w:hAnsi="Arial" w:cs="Arial"/>
          <w:b/>
          <w:bCs/>
          <w:i/>
          <w:iCs/>
          <w:color w:val="365F91" w:themeColor="accent1" w:themeShade="BF"/>
        </w:rPr>
        <w:t>”</w:t>
      </w:r>
      <w:r w:rsidRPr="00841395">
        <w:rPr>
          <w:rFonts w:ascii="Arial" w:hAnsi="Arial" w:cs="Arial"/>
          <w:b/>
          <w:bCs/>
          <w:i/>
          <w:iCs/>
          <w:color w:val="365F91" w:themeColor="accent1" w:themeShade="BF"/>
        </w:rPr>
        <w:t>.</w:t>
      </w:r>
    </w:p>
    <w:p w:rsidR="00E03F90" w:rsidRPr="006E37AC" w:rsidRDefault="00E03F90" w:rsidP="00D44D23">
      <w:pPr>
        <w:pStyle w:val="Level4"/>
        <w:ind w:left="2160"/>
      </w:pPr>
      <w:r w:rsidRPr="006E37AC">
        <w:lastRenderedPageBreak/>
        <w:t>The permittee shall collect and record the following information for the purpose of determining annual organic compound emissions:</w:t>
      </w:r>
    </w:p>
    <w:p w:rsidR="00E03F90" w:rsidRPr="00C76BE7" w:rsidRDefault="00E03F90" w:rsidP="00C76BE7">
      <w:pPr>
        <w:pStyle w:val="Level5"/>
      </w:pPr>
      <w:r w:rsidRPr="00C76BE7">
        <w:t xml:space="preserve">the total potential (prior to applying the booth/oven </w:t>
      </w:r>
      <w:r w:rsidR="008B6BB8">
        <w:t>“</w:t>
      </w:r>
      <w:r w:rsidRPr="00C76BE7">
        <w:t>split</w:t>
      </w:r>
      <w:r w:rsidR="008B6BB8">
        <w:t>”</w:t>
      </w:r>
      <w:r w:rsidRPr="00C76BE7">
        <w:t>) uncontrolled monthly organic compound emission rate for all coatings employed in the coating operation associated with this emissions unit, multiplied by the maximum percentage of the emissions associated with this emissions unit (as defined in condition [</w:t>
      </w:r>
      <w:r w:rsidRPr="005E47FA">
        <w:rPr>
          <w:b/>
        </w:rPr>
        <w:t>XXXX1</w:t>
      </w:r>
      <w:r w:rsidRPr="00C76BE7">
        <w:t>] of this permit), in pounds or tons; and</w:t>
      </w:r>
    </w:p>
    <w:p w:rsidR="00E03F90" w:rsidRPr="00C76BE7" w:rsidRDefault="00E03F90" w:rsidP="00C76BE7">
      <w:pPr>
        <w:pStyle w:val="Level5"/>
      </w:pPr>
      <w:r w:rsidRPr="00C76BE7">
        <w:t>the total controlled organic compound emission rate for this emissions unit, in pounds or tons (i.e., the value from (a) multiplied by the overall control efficiency from the most recent performance test that demonstrated that this emissions unit was in compliance).</w:t>
      </w:r>
    </w:p>
    <w:p w:rsidR="005E47FA" w:rsidRPr="006E37AC" w:rsidRDefault="005E47FA" w:rsidP="00824206">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E03F90" w:rsidRDefault="00E03F90" w:rsidP="00EB2C4A">
      <w:pPr>
        <w:tabs>
          <w:tab w:val="left" w:pos="-36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8000"/>
          <w:sz w:val="20"/>
          <w:szCs w:val="20"/>
        </w:rPr>
      </w:pPr>
      <w:r w:rsidRPr="006E37AC">
        <w:rPr>
          <w:rFonts w:ascii="Arial" w:hAnsi="Arial" w:cs="Arial"/>
          <w:b/>
          <w:bCs/>
          <w:color w:val="000000"/>
        </w:rPr>
        <w:t>B.13.p</w:t>
      </w:r>
      <w:r w:rsidRPr="006E37AC">
        <w:rPr>
          <w:rFonts w:ascii="Arial" w:hAnsi="Arial" w:cs="Arial"/>
          <w:b/>
          <w:bCs/>
          <w:color w:val="000000"/>
        </w:rPr>
        <w:tab/>
      </w:r>
      <w:r w:rsidRPr="006E37AC">
        <w:rPr>
          <w:rFonts w:ascii="Arial" w:hAnsi="Arial" w:cs="Arial"/>
          <w:b/>
          <w:bCs/>
          <w:color w:val="800000"/>
          <w:u w:val="single"/>
        </w:rPr>
        <w:t>Reporting Requirements</w:t>
      </w:r>
      <w:r w:rsidRPr="006E37AC">
        <w:rPr>
          <w:rFonts w:ascii="Arial" w:hAnsi="Arial" w:cs="Arial"/>
          <w:color w:val="000000"/>
        </w:rPr>
        <w:t xml:space="preserve"> </w:t>
      </w:r>
      <w:r w:rsidRPr="006E37AC">
        <w:rPr>
          <w:rFonts w:ascii="Arial" w:hAnsi="Arial" w:cs="Arial"/>
          <w:b/>
          <w:bCs/>
          <w:color w:val="008000"/>
          <w:sz w:val="20"/>
          <w:szCs w:val="20"/>
        </w:rPr>
        <w:t>[OAC rule 3745-21-07(G)(1) and (G)(6)(b)] and [OAC rule 3745-21-07(G)(7), in part]</w:t>
      </w:r>
    </w:p>
    <w:p w:rsidR="00D44D23" w:rsidRPr="006E37AC" w:rsidRDefault="00D44D23" w:rsidP="006D7947">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color w:val="000000"/>
        </w:rPr>
      </w:pPr>
      <w:r w:rsidRPr="00841395">
        <w:rPr>
          <w:rFonts w:ascii="Arial" w:hAnsi="Arial" w:cs="Arial"/>
          <w:b/>
          <w:bCs/>
          <w:color w:val="C00000"/>
        </w:rPr>
        <w:t>Note:</w:t>
      </w:r>
      <w:r w:rsidRPr="00841395">
        <w:rPr>
          <w:rFonts w:ascii="Arial" w:hAnsi="Arial" w:cs="Arial"/>
          <w:b/>
          <w:bCs/>
          <w:color w:val="365F91" w:themeColor="accent1" w:themeShade="BF"/>
        </w:rPr>
        <w:tab/>
        <w:t xml:space="preserve">If the permit is </w:t>
      </w:r>
      <w:r w:rsidRPr="00841395">
        <w:rPr>
          <w:rFonts w:ascii="Arial" w:hAnsi="Arial" w:cs="Arial"/>
          <w:b/>
          <w:bCs/>
          <w:color w:val="C00000"/>
        </w:rPr>
        <w:t>modified</w:t>
      </w:r>
      <w:r w:rsidRPr="00841395">
        <w:rPr>
          <w:rFonts w:ascii="Arial" w:hAnsi="Arial" w:cs="Arial"/>
          <w:b/>
          <w:bCs/>
          <w:color w:val="365F91" w:themeColor="accent1" w:themeShade="BF"/>
        </w:rPr>
        <w:t xml:space="preserve">, the reporting requirements would follow OAC 3745-15-03; and the appropriate reporting terms would be found under the General Reporting Terms, the “Reporting Requirements for PTIs, FEPTIOs, and PTIOs”, term # </w:t>
      </w:r>
      <w:r w:rsidRPr="00841395">
        <w:rPr>
          <w:rFonts w:ascii="Arial" w:hAnsi="Arial" w:cs="Arial"/>
          <w:b/>
          <w:bCs/>
          <w:color w:val="C00000"/>
        </w:rPr>
        <w:t>RPT</w:t>
      </w:r>
      <w:r w:rsidRPr="00841395">
        <w:rPr>
          <w:rFonts w:ascii="Arial" w:hAnsi="Arial" w:cs="Arial"/>
          <w:b/>
          <w:bCs/>
          <w:color w:val="365F91" w:themeColor="accent1" w:themeShade="BF"/>
        </w:rPr>
        <w:t>.</w:t>
      </w:r>
    </w:p>
    <w:p w:rsidR="00E03F90" w:rsidRPr="00C75AD0" w:rsidRDefault="00E03F90" w:rsidP="00D44D23">
      <w:pPr>
        <w:pStyle w:val="Level4"/>
        <w:numPr>
          <w:ilvl w:val="3"/>
          <w:numId w:val="13"/>
        </w:numPr>
        <w:ind w:left="2160"/>
      </w:pPr>
      <w:r w:rsidRPr="00C75AD0">
        <w:t>The permittee shall submit deviation (excursion) reports that identify all carbon bed regeneration cycles during which the total mass steam flow rates were either more than 10 percent below the minimum total mass steam flow rate for any regeneration cycle during the most recent performance test that demonstrated the emissions unit was in compliance or less than the specified pounds of steam that is equivalent to 10 percent below the minimum total mass steam flow rate.</w:t>
      </w:r>
    </w:p>
    <w:p w:rsidR="00E03F90" w:rsidRPr="006E37AC" w:rsidRDefault="00E03F90" w:rsidP="00C75AD0">
      <w:pPr>
        <w:pStyle w:val="Level4Paragraph"/>
      </w:pPr>
      <w:r w:rsidRPr="006E37AC">
        <w:t>The permittee shall also submit quarterly summaries that include a log of the downtime for the capture (collection) system, control device, and monitoring equipment, when the associated emissions unit was in operation.</w:t>
      </w:r>
    </w:p>
    <w:p w:rsidR="00E03F90" w:rsidRPr="006E37AC" w:rsidRDefault="00E03F90" w:rsidP="00C75AD0">
      <w:pPr>
        <w:pStyle w:val="Level4Paragraph"/>
      </w:pPr>
      <w:r w:rsidRPr="006E37AC">
        <w:t>The deviation reports shall be submitted in accordance with the General Terms and Conditions of this permit.</w:t>
      </w:r>
    </w:p>
    <w:p w:rsidR="00E03F90" w:rsidRPr="00824206" w:rsidRDefault="00E03F90" w:rsidP="00C75AD0">
      <w:pPr>
        <w:pStyle w:val="Level4Paragraph"/>
        <w:rPr>
          <w:sz w:val="20"/>
          <w:szCs w:val="20"/>
        </w:rPr>
      </w:pPr>
      <w:r w:rsidRPr="00824206">
        <w:rPr>
          <w:sz w:val="20"/>
          <w:szCs w:val="20"/>
        </w:rPr>
        <w:t>[OAC rule 3745-21-07(G)(1) and (G)(6)(b)] and [OAC rule 3745-21-07(G)(7), in part]</w:t>
      </w:r>
    </w:p>
    <w:p w:rsidR="00E03F90" w:rsidRPr="006E37AC" w:rsidRDefault="005E47FA" w:rsidP="0042270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841395">
        <w:rPr>
          <w:rFonts w:ascii="Arial" w:hAnsi="Arial" w:cs="Arial"/>
          <w:b/>
          <w:bCs/>
          <w:i/>
          <w:iCs/>
          <w:color w:val="365F91" w:themeColor="accent1" w:themeShade="BF"/>
        </w:rPr>
        <w:tab/>
      </w:r>
      <w:r w:rsidR="00E03F90" w:rsidRPr="00841395">
        <w:rPr>
          <w:rFonts w:ascii="Arial" w:hAnsi="Arial" w:cs="Arial"/>
          <w:b/>
          <w:bCs/>
          <w:i/>
          <w:iCs/>
          <w:color w:val="365F91" w:themeColor="accent1" w:themeShade="BF"/>
        </w:rPr>
        <w:t xml:space="preserve">Please note that one of the following sections must be added to this term and condition if the emissions unit is subject to an </w:t>
      </w:r>
      <w:r w:rsidR="00E03F90" w:rsidRPr="00841395">
        <w:rPr>
          <w:rFonts w:ascii="Arial" w:hAnsi="Arial" w:cs="Arial"/>
          <w:b/>
          <w:bCs/>
          <w:i/>
          <w:iCs/>
          <w:color w:val="C00000"/>
        </w:rPr>
        <w:t>annual organic compound emission limitation</w:t>
      </w:r>
      <w:r w:rsidR="00E03F90" w:rsidRPr="00841395">
        <w:rPr>
          <w:rFonts w:ascii="Arial" w:hAnsi="Arial" w:cs="Arial"/>
          <w:b/>
          <w:bCs/>
          <w:i/>
          <w:iCs/>
          <w:color w:val="365F91" w:themeColor="accent1" w:themeShade="BF"/>
        </w:rPr>
        <w:t xml:space="preserve"> and the permittee has not proposed an equivalent approach for reporting the annual organic compound emissions. </w:t>
      </w:r>
      <w:r w:rsidR="00E03F90" w:rsidRPr="006E37AC">
        <w:rPr>
          <w:rFonts w:ascii="Arial" w:hAnsi="Arial" w:cs="Arial"/>
          <w:color w:val="000000"/>
        </w:rPr>
        <w:t xml:space="preserve"> </w:t>
      </w:r>
    </w:p>
    <w:p w:rsidR="00E03F90" w:rsidRPr="00841395" w:rsidRDefault="005E47FA" w:rsidP="0042270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365F91" w:themeColor="accent1" w:themeShade="BF"/>
        </w:rPr>
      </w:pPr>
      <w:r w:rsidRPr="00841395">
        <w:rPr>
          <w:rFonts w:ascii="Arial" w:hAnsi="Arial" w:cs="Arial"/>
          <w:b/>
          <w:bCs/>
          <w:i/>
          <w:iCs/>
          <w:color w:val="365F91" w:themeColor="accent1" w:themeShade="BF"/>
        </w:rPr>
        <w:tab/>
      </w:r>
      <w:r w:rsidR="00E03F90" w:rsidRPr="00841395">
        <w:rPr>
          <w:rFonts w:ascii="Arial" w:hAnsi="Arial" w:cs="Arial"/>
          <w:b/>
          <w:bCs/>
          <w:i/>
          <w:iCs/>
          <w:color w:val="365F91" w:themeColor="accent1" w:themeShade="BF"/>
        </w:rPr>
        <w:t>This term may be used for a Title V or non-Title V Facility:</w:t>
      </w:r>
    </w:p>
    <w:p w:rsidR="00E03F90" w:rsidRPr="00C76BE7" w:rsidRDefault="00E03F90" w:rsidP="00D44D23">
      <w:pPr>
        <w:pStyle w:val="Level4"/>
        <w:ind w:left="2160"/>
      </w:pPr>
      <w:r w:rsidRPr="00C76BE7">
        <w:t>The permittee shall also submit annual reports that specify the total organic compound emissions from this emissions unit for the previous calendar year.  These reports shall be submitted by January 31 of each year.</w:t>
      </w:r>
    </w:p>
    <w:p w:rsidR="00E03F90" w:rsidRPr="006E37AC" w:rsidRDefault="005E47FA" w:rsidP="0042270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strike/>
          <w:color w:val="000000"/>
        </w:rPr>
      </w:pPr>
      <w:r w:rsidRPr="00841395">
        <w:rPr>
          <w:rFonts w:ascii="Arial" w:hAnsi="Arial" w:cs="Arial"/>
          <w:b/>
          <w:bCs/>
          <w:i/>
          <w:iCs/>
          <w:color w:val="C00000"/>
        </w:rPr>
        <w:tab/>
      </w:r>
      <w:r w:rsidR="00E03F90" w:rsidRPr="00841395">
        <w:rPr>
          <w:rFonts w:ascii="Arial" w:hAnsi="Arial" w:cs="Arial"/>
          <w:b/>
          <w:bCs/>
          <w:i/>
          <w:iCs/>
          <w:color w:val="C00000"/>
        </w:rPr>
        <w:t>Or</w:t>
      </w:r>
      <w:r w:rsidR="00E03F90" w:rsidRPr="00841395">
        <w:rPr>
          <w:rFonts w:ascii="Arial" w:hAnsi="Arial" w:cs="Arial"/>
          <w:b/>
          <w:bCs/>
          <w:i/>
          <w:iCs/>
          <w:color w:val="365F91" w:themeColor="accent1" w:themeShade="BF"/>
        </w:rPr>
        <w:t xml:space="preserve"> if the facility is a Title V facility, the annual reporting requirement may be satisfied with the submission of the fee emissions report, due April 15th of each year.</w:t>
      </w:r>
    </w:p>
    <w:p w:rsidR="00E03F90" w:rsidRPr="00CF10D8" w:rsidRDefault="00E03F90" w:rsidP="00D44D23">
      <w:pPr>
        <w:pStyle w:val="Level4"/>
        <w:numPr>
          <w:ilvl w:val="3"/>
          <w:numId w:val="14"/>
        </w:numPr>
        <w:ind w:left="2160"/>
      </w:pPr>
      <w:r w:rsidRPr="006E37AC">
        <w:t>The permittee shall also submit annual reports that specify the total organic compound emissions from this emissions unit for the previous calendar year.  The reports shall be submitted by April 15 of each year.  This reporting requirement may be satisfied by including and identifying the specific emission data for this emissions unit in the annual Fee Emission Report.</w:t>
      </w:r>
    </w:p>
    <w:p w:rsidR="00E03F90" w:rsidRPr="006E37AC" w:rsidRDefault="00E03F90" w:rsidP="00EB2C4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p>
    <w:sectPr w:rsidR="00E03F90" w:rsidRPr="006E37AC" w:rsidSect="00A3239D">
      <w:type w:val="continuous"/>
      <w:pgSz w:w="12240" w:h="15840"/>
      <w:pgMar w:top="720" w:right="720" w:bottom="720"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D132E004"/>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52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B4C39"/>
    <w:rsid w:val="000E27FD"/>
    <w:rsid w:val="000E376F"/>
    <w:rsid w:val="000F7576"/>
    <w:rsid w:val="00210E9E"/>
    <w:rsid w:val="002110C1"/>
    <w:rsid w:val="00422709"/>
    <w:rsid w:val="004D1E5D"/>
    <w:rsid w:val="005E47FA"/>
    <w:rsid w:val="00642F73"/>
    <w:rsid w:val="006D7947"/>
    <w:rsid w:val="006F16F3"/>
    <w:rsid w:val="00737705"/>
    <w:rsid w:val="007657AE"/>
    <w:rsid w:val="00787D73"/>
    <w:rsid w:val="00824206"/>
    <w:rsid w:val="00841395"/>
    <w:rsid w:val="008B6BB8"/>
    <w:rsid w:val="00A239B2"/>
    <w:rsid w:val="00A3239D"/>
    <w:rsid w:val="00A72A50"/>
    <w:rsid w:val="00AD55F1"/>
    <w:rsid w:val="00AF550A"/>
    <w:rsid w:val="00BB5014"/>
    <w:rsid w:val="00C75AD0"/>
    <w:rsid w:val="00C76BE7"/>
    <w:rsid w:val="00CE5B76"/>
    <w:rsid w:val="00CF10D8"/>
    <w:rsid w:val="00CF7D0B"/>
    <w:rsid w:val="00D44D23"/>
    <w:rsid w:val="00E03F90"/>
    <w:rsid w:val="00E066C0"/>
    <w:rsid w:val="00E742D3"/>
    <w:rsid w:val="00EB2C4A"/>
    <w:rsid w:val="00ED288B"/>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578ED"/>
  <w15:docId w15:val="{52EE2D20-F66A-46D9-8674-4DB2C96F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D44D2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D44D2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12</cp:revision>
  <dcterms:created xsi:type="dcterms:W3CDTF">2008-05-15T15:43:00Z</dcterms:created>
  <dcterms:modified xsi:type="dcterms:W3CDTF">2016-06-07T16:46:00Z</dcterms:modified>
</cp:coreProperties>
</file>